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8C9" w:rsidRPr="003128C9" w:rsidRDefault="0026588C" w:rsidP="003128C9">
      <w:pPr>
        <w:pStyle w:val="Sinespaciado1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CEPESCA reconoce la buena labor de la ministra García Tejerina y su equipo en las negociaciones de las cuotas de pesca de la UE</w:t>
      </w:r>
    </w:p>
    <w:p w:rsidR="003128C9" w:rsidRPr="003128C9" w:rsidRDefault="0026588C" w:rsidP="003128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center"/>
        <w:rPr>
          <w:rFonts w:asciiTheme="minorHAnsi" w:hAnsiTheme="minorHAnsi" w:cs="Verdana"/>
          <w:b/>
        </w:rPr>
      </w:pPr>
      <w:r>
        <w:rPr>
          <w:rFonts w:asciiTheme="minorHAnsi" w:hAnsiTheme="minorHAnsi" w:cs="Verdana"/>
          <w:b/>
        </w:rPr>
        <w:t>LA CONSIDERACIÓN DEL IMPACTO SOCIOECONÓMICO</w:t>
      </w:r>
      <w:r w:rsidR="0086428F">
        <w:rPr>
          <w:rFonts w:asciiTheme="minorHAnsi" w:hAnsiTheme="minorHAnsi" w:cs="Verdana"/>
          <w:b/>
        </w:rPr>
        <w:t xml:space="preserve"> FUNDAMENTA EL AUMENTO EN 6000 TN EN LAS CUOTAS DE PESCA DE LA FLOTA ESPAÑOLA PARA 2016</w:t>
      </w:r>
    </w:p>
    <w:p w:rsidR="00CF099E" w:rsidRPr="003F433B" w:rsidRDefault="00CF099E" w:rsidP="00CF099E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sz w:val="22"/>
          <w:szCs w:val="22"/>
        </w:rPr>
      </w:pPr>
    </w:p>
    <w:p w:rsidR="003128C9" w:rsidRPr="003128C9" w:rsidRDefault="003128C9" w:rsidP="003128C9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b/>
          <w:sz w:val="22"/>
          <w:szCs w:val="22"/>
        </w:rPr>
      </w:pPr>
      <w:r w:rsidRPr="003128C9">
        <w:rPr>
          <w:rFonts w:asciiTheme="minorHAnsi" w:hAnsiTheme="minorHAnsi"/>
          <w:b/>
        </w:rPr>
        <w:t>Para</w:t>
      </w:r>
      <w:r>
        <w:rPr>
          <w:rFonts w:asciiTheme="minorHAnsi" w:hAnsiTheme="minorHAnsi"/>
          <w:b/>
        </w:rPr>
        <w:t xml:space="preserve"> CEPESCA</w:t>
      </w:r>
      <w:r w:rsidRPr="003128C9">
        <w:rPr>
          <w:rFonts w:asciiTheme="minorHAnsi" w:hAnsiTheme="minorHAnsi"/>
          <w:b/>
        </w:rPr>
        <w:t>, el cómputo global</w:t>
      </w:r>
      <w:r>
        <w:rPr>
          <w:rFonts w:asciiTheme="minorHAnsi" w:hAnsiTheme="minorHAnsi"/>
          <w:b/>
        </w:rPr>
        <w:t xml:space="preserve"> de estas negociaciones </w:t>
      </w:r>
      <w:r w:rsidRPr="003128C9">
        <w:rPr>
          <w:rFonts w:asciiTheme="minorHAnsi" w:hAnsiTheme="minorHAnsi"/>
          <w:b/>
        </w:rPr>
        <w:t>es positivo</w:t>
      </w:r>
      <w:r>
        <w:rPr>
          <w:rFonts w:asciiTheme="minorHAnsi" w:hAnsiTheme="minorHAnsi"/>
          <w:b/>
        </w:rPr>
        <w:t xml:space="preserve"> para los pescadores españoles</w:t>
      </w:r>
      <w:r w:rsidRPr="003128C9">
        <w:rPr>
          <w:rFonts w:asciiTheme="minorHAnsi" w:hAnsiTheme="minorHAnsi"/>
          <w:b/>
        </w:rPr>
        <w:t>, ya que el sector dispondrá de 6.000 Tn más de cuotas de pesca el año próximo.</w:t>
      </w:r>
    </w:p>
    <w:p w:rsidR="0026588C" w:rsidRPr="00CF099E" w:rsidRDefault="00CF099E" w:rsidP="002658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 w:rsidRPr="00CF099E">
        <w:rPr>
          <w:rFonts w:asciiTheme="minorHAnsi" w:hAnsiTheme="minorHAnsi" w:cs="Verdana"/>
          <w:u w:val="single"/>
        </w:rPr>
        <w:t>Madrid, 16 de diciembre de 2015</w:t>
      </w:r>
      <w:r w:rsidRPr="00CF099E">
        <w:rPr>
          <w:rFonts w:asciiTheme="minorHAnsi" w:hAnsiTheme="minorHAnsi" w:cs="Verdana"/>
        </w:rPr>
        <w:t xml:space="preserve">.- La </w:t>
      </w:r>
      <w:hyperlink r:id="rId7" w:history="1">
        <w:r w:rsidRPr="00CF099E">
          <w:rPr>
            <w:rStyle w:val="Hipervnculo"/>
            <w:rFonts w:asciiTheme="minorHAnsi" w:hAnsiTheme="minorHAnsi" w:cs="Verdana"/>
          </w:rPr>
          <w:t>Confederación Española de Pesca (CEPESCA</w:t>
        </w:r>
      </w:hyperlink>
      <w:r w:rsidRPr="00CF099E">
        <w:rPr>
          <w:rFonts w:asciiTheme="minorHAnsi" w:hAnsiTheme="minorHAnsi" w:cs="Verdana"/>
        </w:rPr>
        <w:t xml:space="preserve">) </w:t>
      </w:r>
      <w:r w:rsidR="0026588C">
        <w:rPr>
          <w:rFonts w:asciiTheme="minorHAnsi" w:hAnsiTheme="minorHAnsi"/>
        </w:rPr>
        <w:t>valora el incremento en 6.000 Tn de las cuotas de pesca aprobado, la pasada madrugada, por el Consejo de ministros de Agricultura y Pesca de la UE. Cepesca</w:t>
      </w:r>
      <w:r w:rsidR="0026588C" w:rsidRPr="00CF099E">
        <w:rPr>
          <w:rFonts w:asciiTheme="minorHAnsi" w:hAnsiTheme="minorHAnsi"/>
        </w:rPr>
        <w:t xml:space="preserve">, que ha seguido </w:t>
      </w:r>
      <w:r w:rsidR="0026588C">
        <w:rPr>
          <w:rFonts w:asciiTheme="minorHAnsi" w:hAnsiTheme="minorHAnsi"/>
        </w:rPr>
        <w:t>in situ</w:t>
      </w:r>
      <w:r w:rsidR="0026588C" w:rsidRPr="00CF099E">
        <w:rPr>
          <w:rFonts w:asciiTheme="minorHAnsi" w:hAnsiTheme="minorHAnsi"/>
        </w:rPr>
        <w:t xml:space="preserve"> las negociaciones desarrolladas en </w:t>
      </w:r>
      <w:r w:rsidR="0026588C">
        <w:rPr>
          <w:rFonts w:asciiTheme="minorHAnsi" w:hAnsiTheme="minorHAnsi"/>
        </w:rPr>
        <w:t>Bruselas, destaca que los informes sobre el</w:t>
      </w:r>
      <w:r w:rsidR="0026588C" w:rsidRPr="00CF099E">
        <w:rPr>
          <w:rFonts w:asciiTheme="minorHAnsi" w:hAnsiTheme="minorHAnsi"/>
        </w:rPr>
        <w:t xml:space="preserve"> impacto socioeconómico de la pesca ha</w:t>
      </w:r>
      <w:r w:rsidR="0026588C">
        <w:rPr>
          <w:rFonts w:asciiTheme="minorHAnsi" w:hAnsiTheme="minorHAnsi"/>
        </w:rPr>
        <w:t>n</w:t>
      </w:r>
      <w:r w:rsidR="0026588C" w:rsidRPr="00CF099E">
        <w:rPr>
          <w:rFonts w:asciiTheme="minorHAnsi" w:hAnsiTheme="minorHAnsi"/>
        </w:rPr>
        <w:t xml:space="preserve"> tenido un peso importante en las conversaciones, “</w:t>
      </w:r>
      <w:r w:rsidR="0026588C" w:rsidRPr="00CF099E">
        <w:rPr>
          <w:rFonts w:asciiTheme="minorHAnsi" w:hAnsiTheme="minorHAnsi"/>
          <w:i/>
        </w:rPr>
        <w:t>demostrándose así</w:t>
      </w:r>
      <w:r w:rsidR="0026588C" w:rsidRPr="00CF099E">
        <w:rPr>
          <w:rFonts w:asciiTheme="minorHAnsi" w:hAnsiTheme="minorHAnsi"/>
        </w:rPr>
        <w:t xml:space="preserve"> –apunta Javier Garat, secretario general de la Confederación–, </w:t>
      </w:r>
      <w:r w:rsidR="0026588C" w:rsidRPr="00CF099E">
        <w:rPr>
          <w:rFonts w:asciiTheme="minorHAnsi" w:hAnsiTheme="minorHAnsi"/>
          <w:i/>
        </w:rPr>
        <w:t>que la sostenibilidad biológica, económica y social de la actividad pesquera pueden trabajar con unos mismos objetivos y que ninguna de ellas puede excluir a cualquier otra</w:t>
      </w:r>
      <w:r w:rsidR="0026588C" w:rsidRPr="00CF099E">
        <w:rPr>
          <w:rFonts w:asciiTheme="minorHAnsi" w:hAnsiTheme="minorHAnsi"/>
        </w:rPr>
        <w:t xml:space="preserve">”. </w:t>
      </w:r>
    </w:p>
    <w:p w:rsidR="00CF099E" w:rsidRPr="00CF099E" w:rsidRDefault="002F44B6" w:rsidP="00CF09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Cepesca</w:t>
      </w:r>
      <w:r w:rsidR="0026588C">
        <w:rPr>
          <w:rFonts w:asciiTheme="minorHAnsi" w:hAnsiTheme="minorHAnsi"/>
        </w:rPr>
        <w:t xml:space="preserve"> reconoce </w:t>
      </w:r>
      <w:r w:rsidR="00CF099E" w:rsidRPr="00CF099E">
        <w:rPr>
          <w:rFonts w:asciiTheme="minorHAnsi" w:hAnsiTheme="minorHAnsi"/>
        </w:rPr>
        <w:t xml:space="preserve">la buena labor realizada por la ministra </w:t>
      </w:r>
      <w:r w:rsidR="00CF099E">
        <w:rPr>
          <w:rFonts w:asciiTheme="minorHAnsi" w:hAnsiTheme="minorHAnsi"/>
        </w:rPr>
        <w:t xml:space="preserve">Isabel García </w:t>
      </w:r>
      <w:r w:rsidR="00CF099E" w:rsidRPr="00CF099E">
        <w:rPr>
          <w:rFonts w:asciiTheme="minorHAnsi" w:hAnsiTheme="minorHAnsi"/>
        </w:rPr>
        <w:t>Tejerina y su equipo en la negociación sobre cuotas pa</w:t>
      </w:r>
      <w:r w:rsidR="0026588C">
        <w:rPr>
          <w:rFonts w:asciiTheme="minorHAnsi" w:hAnsiTheme="minorHAnsi"/>
        </w:rPr>
        <w:t>ra la flota comunitaria en 2016.</w:t>
      </w:r>
      <w:r w:rsidR="00CF099E" w:rsidRPr="00CF099E">
        <w:rPr>
          <w:rFonts w:asciiTheme="minorHAnsi" w:hAnsiTheme="minorHAnsi"/>
        </w:rPr>
        <w:t xml:space="preserve"> </w:t>
      </w:r>
      <w:r w:rsidR="0026588C">
        <w:rPr>
          <w:rFonts w:asciiTheme="minorHAnsi" w:hAnsiTheme="minorHAnsi"/>
        </w:rPr>
        <w:t>En la obtención del resultado final</w:t>
      </w:r>
      <w:r>
        <w:rPr>
          <w:rFonts w:asciiTheme="minorHAnsi" w:hAnsiTheme="minorHAnsi"/>
        </w:rPr>
        <w:t xml:space="preserve"> han sido fundamentales </w:t>
      </w:r>
      <w:r w:rsidRPr="00CF099E">
        <w:rPr>
          <w:rFonts w:asciiTheme="minorHAnsi" w:hAnsiTheme="minorHAnsi"/>
        </w:rPr>
        <w:t>los informes de impacto s</w:t>
      </w:r>
      <w:r>
        <w:rPr>
          <w:rFonts w:asciiTheme="minorHAnsi" w:hAnsiTheme="minorHAnsi"/>
        </w:rPr>
        <w:t>ocioeconómico elaborados por el MAGRAMA</w:t>
      </w:r>
      <w:r w:rsidRPr="00CF099E">
        <w:rPr>
          <w:rFonts w:asciiTheme="minorHAnsi" w:hAnsiTheme="minorHAnsi"/>
        </w:rPr>
        <w:t>, en colaboración con los</w:t>
      </w:r>
      <w:r>
        <w:rPr>
          <w:rFonts w:asciiTheme="minorHAnsi" w:hAnsiTheme="minorHAnsi"/>
        </w:rPr>
        <w:t xml:space="preserve"> científicos del IEO y de AZTI. Además, y según Cepesca, las cuotas establecidas</w:t>
      </w:r>
      <w:r w:rsidR="0026588C">
        <w:rPr>
          <w:rFonts w:asciiTheme="minorHAnsi" w:hAnsiTheme="minorHAnsi"/>
        </w:rPr>
        <w:t xml:space="preserve"> </w:t>
      </w:r>
      <w:r w:rsidR="0026588C" w:rsidRPr="00CF099E">
        <w:rPr>
          <w:rFonts w:asciiTheme="minorHAnsi" w:hAnsiTheme="minorHAnsi"/>
        </w:rPr>
        <w:t>c</w:t>
      </w:r>
      <w:r>
        <w:rPr>
          <w:rFonts w:asciiTheme="minorHAnsi" w:hAnsiTheme="minorHAnsi"/>
        </w:rPr>
        <w:t>umplen</w:t>
      </w:r>
      <w:r w:rsidR="0026588C" w:rsidRPr="00CF099E">
        <w:rPr>
          <w:rFonts w:asciiTheme="minorHAnsi" w:hAnsiTheme="minorHAnsi"/>
        </w:rPr>
        <w:t xml:space="preserve"> los objetivos de la Políti</w:t>
      </w:r>
      <w:r>
        <w:rPr>
          <w:rFonts w:asciiTheme="minorHAnsi" w:hAnsiTheme="minorHAnsi"/>
        </w:rPr>
        <w:t>ca Pesquera Común y garantizan</w:t>
      </w:r>
      <w:r w:rsidR="0026588C" w:rsidRPr="00CF099E">
        <w:rPr>
          <w:rFonts w:asciiTheme="minorHAnsi" w:hAnsiTheme="minorHAnsi"/>
        </w:rPr>
        <w:t xml:space="preserve"> la s</w:t>
      </w:r>
      <w:r w:rsidR="0026588C">
        <w:rPr>
          <w:rFonts w:asciiTheme="minorHAnsi" w:hAnsiTheme="minorHAnsi"/>
        </w:rPr>
        <w:t>ostenibilidad de las pesquerías</w:t>
      </w:r>
      <w:r>
        <w:rPr>
          <w:rFonts w:asciiTheme="minorHAnsi" w:hAnsiTheme="minorHAnsi"/>
        </w:rPr>
        <w:t xml:space="preserve"> y los stocks, incluso retrasando más allá de 2016 la consecución del Rendimiento Máximo Sostenible (RMS).</w:t>
      </w:r>
    </w:p>
    <w:p w:rsidR="00CF099E" w:rsidRPr="00CF099E" w:rsidRDefault="0026588C" w:rsidP="00CF09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Este incremento</w:t>
      </w:r>
      <w:r w:rsidR="00CF099E">
        <w:rPr>
          <w:rFonts w:asciiTheme="minorHAnsi" w:hAnsiTheme="minorHAnsi"/>
        </w:rPr>
        <w:t xml:space="preserve">, </w:t>
      </w:r>
      <w:r w:rsidR="003128C9">
        <w:rPr>
          <w:rFonts w:asciiTheme="minorHAnsi" w:hAnsiTheme="minorHAnsi"/>
        </w:rPr>
        <w:t>equivalente a 12 millones de euros adicionales</w:t>
      </w:r>
      <w:r>
        <w:rPr>
          <w:rFonts w:asciiTheme="minorHAnsi" w:hAnsiTheme="minorHAnsi"/>
        </w:rPr>
        <w:t xml:space="preserve">, no beneficia por igual a todas las pesquerías. Los </w:t>
      </w:r>
      <w:r w:rsidR="00CF099E" w:rsidRPr="00CF099E">
        <w:rPr>
          <w:rFonts w:asciiTheme="minorHAnsi" w:hAnsiTheme="minorHAnsi"/>
        </w:rPr>
        <w:t xml:space="preserve">pescadores de Gran Sol </w:t>
      </w:r>
      <w:r>
        <w:rPr>
          <w:rFonts w:asciiTheme="minorHAnsi" w:hAnsiTheme="minorHAnsi"/>
        </w:rPr>
        <w:t xml:space="preserve">dispondrán </w:t>
      </w:r>
      <w:r w:rsidR="00CF099E" w:rsidRPr="00CF099E">
        <w:rPr>
          <w:rFonts w:asciiTheme="minorHAnsi" w:hAnsiTheme="minorHAnsi"/>
        </w:rPr>
        <w:t xml:space="preserve">de un importante </w:t>
      </w:r>
      <w:r>
        <w:rPr>
          <w:rFonts w:asciiTheme="minorHAnsi" w:hAnsiTheme="minorHAnsi"/>
        </w:rPr>
        <w:t xml:space="preserve">aumento </w:t>
      </w:r>
      <w:r w:rsidR="00CF099E" w:rsidRPr="00CF099E">
        <w:rPr>
          <w:rFonts w:asciiTheme="minorHAnsi" w:hAnsiTheme="minorHAnsi"/>
        </w:rPr>
        <w:t>de</w:t>
      </w:r>
      <w:r w:rsidR="002F44B6">
        <w:rPr>
          <w:rFonts w:asciiTheme="minorHAnsi" w:hAnsiTheme="minorHAnsi"/>
        </w:rPr>
        <w:t>l 19% de</w:t>
      </w:r>
      <w:r w:rsidR="00CF099E" w:rsidRPr="00CF099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la cuota de </w:t>
      </w:r>
      <w:r w:rsidR="00CF099E" w:rsidRPr="00CF099E">
        <w:rPr>
          <w:rFonts w:asciiTheme="minorHAnsi" w:hAnsiTheme="minorHAnsi"/>
        </w:rPr>
        <w:t xml:space="preserve">merluza y </w:t>
      </w:r>
      <w:r w:rsidR="002F44B6">
        <w:rPr>
          <w:rFonts w:asciiTheme="minorHAnsi" w:hAnsiTheme="minorHAnsi"/>
        </w:rPr>
        <w:t>de un 5% para el gallo, además de mantener</w:t>
      </w:r>
      <w:r w:rsidR="00CF099E">
        <w:rPr>
          <w:rFonts w:asciiTheme="minorHAnsi" w:hAnsiTheme="minorHAnsi"/>
        </w:rPr>
        <w:t xml:space="preserve"> la cuota de rape.</w:t>
      </w:r>
    </w:p>
    <w:p w:rsidR="00CF099E" w:rsidRPr="00CF099E" w:rsidRDefault="00CF099E" w:rsidP="00CF09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 w:rsidRPr="00CF099E">
        <w:rPr>
          <w:rFonts w:asciiTheme="minorHAnsi" w:hAnsiTheme="minorHAnsi"/>
        </w:rPr>
        <w:t>Por su parte, y según valora Cepesca, los pescadores del Golfo de Cádiz también pueden estar satisfechos por los incrementos del 26% de cigala, el 15,3% de jurel y el 10% de boquerón, siendo el punto negativo la reducción del rape en un 14%.</w:t>
      </w:r>
    </w:p>
    <w:p w:rsidR="00CF099E" w:rsidRDefault="002F44B6" w:rsidP="00CF09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 </w:t>
      </w:r>
      <w:r w:rsidR="00CF099E" w:rsidRPr="00CF099E">
        <w:rPr>
          <w:rFonts w:asciiTheme="minorHAnsi" w:hAnsiTheme="minorHAnsi"/>
        </w:rPr>
        <w:t>relación a la flota del Cantábrico Noroeste,</w:t>
      </w:r>
      <w:r w:rsidR="0086428F">
        <w:rPr>
          <w:rFonts w:asciiTheme="minorHAnsi" w:hAnsiTheme="minorHAnsi"/>
        </w:rPr>
        <w:t xml:space="preserve"> Cepesca</w:t>
      </w:r>
      <w:r w:rsidR="00CF099E" w:rsidRPr="00CF099E">
        <w:rPr>
          <w:rFonts w:asciiTheme="minorHAnsi" w:hAnsiTheme="minorHAnsi"/>
        </w:rPr>
        <w:t xml:space="preserve"> apunta que</w:t>
      </w:r>
      <w:r w:rsidR="00CF099E">
        <w:rPr>
          <w:rFonts w:asciiTheme="minorHAnsi" w:hAnsiTheme="minorHAnsi"/>
        </w:rPr>
        <w:t>,</w:t>
      </w:r>
      <w:r w:rsidR="00CF099E" w:rsidRPr="00CF099E">
        <w:rPr>
          <w:rFonts w:asciiTheme="minorHAnsi" w:hAnsiTheme="minorHAnsi"/>
        </w:rPr>
        <w:t xml:space="preserve"> si bien se han suavizado prácticamente hasta el límite las propuestas de la Comisión Europea, finalmente ha habido una reducción del 21,5% de la merluza sur, frente al 60,5% inicial planteada por la C</w:t>
      </w:r>
      <w:r w:rsidR="0086428F">
        <w:rPr>
          <w:rFonts w:asciiTheme="minorHAnsi" w:hAnsiTheme="minorHAnsi"/>
        </w:rPr>
        <w:t>E</w:t>
      </w:r>
      <w:r w:rsidR="00CF099E" w:rsidRPr="00CF099E">
        <w:rPr>
          <w:rFonts w:asciiTheme="minorHAnsi" w:hAnsiTheme="minorHAnsi"/>
        </w:rPr>
        <w:t>, y del 14% del rape</w:t>
      </w:r>
      <w:r w:rsidR="0086428F">
        <w:rPr>
          <w:rFonts w:asciiTheme="minorHAnsi" w:hAnsiTheme="minorHAnsi"/>
        </w:rPr>
        <w:t>. Aumenta un 27% la cuota d</w:t>
      </w:r>
      <w:r w:rsidR="00CF099E" w:rsidRPr="00CF099E">
        <w:rPr>
          <w:rFonts w:asciiTheme="minorHAnsi" w:hAnsiTheme="minorHAnsi"/>
        </w:rPr>
        <w:t xml:space="preserve">el jurel y </w:t>
      </w:r>
      <w:r w:rsidR="0086428F">
        <w:rPr>
          <w:rFonts w:asciiTheme="minorHAnsi" w:hAnsiTheme="minorHAnsi"/>
        </w:rPr>
        <w:t>se mantienen las del</w:t>
      </w:r>
      <w:r w:rsidR="00CF099E">
        <w:rPr>
          <w:rFonts w:asciiTheme="minorHAnsi" w:hAnsiTheme="minorHAnsi"/>
        </w:rPr>
        <w:t xml:space="preserve"> resto de especies.</w:t>
      </w:r>
    </w:p>
    <w:p w:rsidR="00CF099E" w:rsidRPr="0086428F" w:rsidRDefault="0086428F" w:rsidP="008642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No obstante, Cepesca</w:t>
      </w:r>
      <w:r w:rsidR="002F44B6">
        <w:rPr>
          <w:rFonts w:asciiTheme="minorHAnsi" w:hAnsiTheme="minorHAnsi"/>
        </w:rPr>
        <w:t xml:space="preserve"> considera que las cuotas para muchas especies continúan siendo insuficiente</w:t>
      </w:r>
      <w:r>
        <w:rPr>
          <w:rFonts w:asciiTheme="minorHAnsi" w:hAnsiTheme="minorHAnsi"/>
        </w:rPr>
        <w:t>s</w:t>
      </w:r>
      <w:r w:rsidR="002F44B6">
        <w:rPr>
          <w:rFonts w:asciiTheme="minorHAnsi" w:hAnsiTheme="minorHAnsi"/>
        </w:rPr>
        <w:t xml:space="preserve">. De acuerdo con la patronal, el </w:t>
      </w:r>
      <w:r w:rsidR="00EF38BF">
        <w:rPr>
          <w:rFonts w:asciiTheme="minorHAnsi" w:hAnsiTheme="minorHAnsi"/>
        </w:rPr>
        <w:t xml:space="preserve">criterio </w:t>
      </w:r>
      <w:r w:rsidR="002F44B6">
        <w:rPr>
          <w:rFonts w:asciiTheme="minorHAnsi" w:hAnsiTheme="minorHAnsi"/>
        </w:rPr>
        <w:t xml:space="preserve">de estabilidad relativa </w:t>
      </w:r>
      <w:r w:rsidR="0026588C" w:rsidRPr="002F44B6">
        <w:rPr>
          <w:rFonts w:asciiTheme="minorHAnsi" w:hAnsiTheme="minorHAnsi"/>
        </w:rPr>
        <w:t xml:space="preserve">penaliza a la flota española desde la entrada de </w:t>
      </w:r>
      <w:r w:rsidR="002F44B6">
        <w:rPr>
          <w:rFonts w:asciiTheme="minorHAnsi" w:hAnsiTheme="minorHAnsi"/>
        </w:rPr>
        <w:t xml:space="preserve">España </w:t>
      </w:r>
      <w:r w:rsidR="0026588C" w:rsidRPr="002F44B6">
        <w:rPr>
          <w:rFonts w:asciiTheme="minorHAnsi" w:hAnsiTheme="minorHAnsi"/>
        </w:rPr>
        <w:t xml:space="preserve">en la Comunidad Europea en 1986. </w:t>
      </w:r>
      <w:r w:rsidR="002F44B6">
        <w:rPr>
          <w:rFonts w:asciiTheme="minorHAnsi" w:hAnsiTheme="minorHAnsi"/>
        </w:rPr>
        <w:t xml:space="preserve">Este </w:t>
      </w:r>
      <w:r w:rsidR="00EF38BF">
        <w:rPr>
          <w:rFonts w:asciiTheme="minorHAnsi" w:hAnsiTheme="minorHAnsi"/>
        </w:rPr>
        <w:t xml:space="preserve">criterio </w:t>
      </w:r>
      <w:r w:rsidR="002F44B6">
        <w:rPr>
          <w:rFonts w:asciiTheme="minorHAnsi" w:hAnsiTheme="minorHAnsi"/>
        </w:rPr>
        <w:t>es uno de los motivos por los que los 21.000 barcos que en ese m</w:t>
      </w:r>
      <w:bookmarkStart w:id="0" w:name="_GoBack"/>
      <w:bookmarkEnd w:id="0"/>
      <w:r w:rsidR="002F44B6">
        <w:rPr>
          <w:rFonts w:asciiTheme="minorHAnsi" w:hAnsiTheme="minorHAnsi"/>
        </w:rPr>
        <w:t>omento formaban la flota española se han visto reducidos hasta los 9.500 actuales.</w:t>
      </w:r>
    </w:p>
    <w:p w:rsidR="00CF099E" w:rsidRPr="00037A0B" w:rsidRDefault="00CF099E" w:rsidP="00CF099E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asciiTheme="minorHAnsi" w:hAnsiTheme="minorHAnsi" w:cs="Verdana"/>
          <w:lang w:val="es-ES"/>
        </w:rPr>
      </w:pPr>
      <w:r w:rsidRPr="002C3FE8">
        <w:rPr>
          <w:rFonts w:asciiTheme="minorHAnsi" w:hAnsiTheme="minorHAnsi" w:cs="Arial"/>
          <w:b/>
        </w:rPr>
        <w:lastRenderedPageBreak/>
        <w:t>Sobre CEPESCA</w:t>
      </w:r>
    </w:p>
    <w:p w:rsidR="00CF099E" w:rsidRPr="00590772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</w:pPr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</w:t>
      </w:r>
      <w:proofErr w:type="spellStart"/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>GTs</w:t>
      </w:r>
      <w:proofErr w:type="spellEnd"/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8" w:history="1">
        <w:r w:rsidRPr="00590772">
          <w:rPr>
            <w:rFonts w:asciiTheme="minorHAnsi" w:eastAsia="MS Mincho" w:hAnsiTheme="minorHAns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:rsidR="00CF099E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:rsidR="00CF099E" w:rsidRPr="00B32274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:rsidR="00CF099E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</w:pPr>
    </w:p>
    <w:p w:rsidR="00CF099E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</w:pPr>
      <w:r>
        <w:rPr>
          <w:rFonts w:ascii="Courier New" w:eastAsia="MS Mincho" w:hAnsi="Courier New" w:cs="Courier New"/>
          <w:b/>
          <w:noProof/>
          <w:color w:val="FF0000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0C598D7F" wp14:editId="6295F24A">
            <wp:extent cx="654461" cy="462948"/>
            <wp:effectExtent l="0" t="0" r="6350" b="0"/>
            <wp:docPr id="1" name="Imagen 1" descr="../../../../../../Desktop/Logo%20bdi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Desktop/Logo%20bdi.p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47" cy="48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99E" w:rsidRPr="00FC6B9A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fr-BE"/>
        </w:rPr>
      </w:pPr>
      <w:r w:rsidRPr="00FC6B9A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</w:p>
    <w:p w:rsidR="00CF099E" w:rsidRPr="00FC6B9A" w:rsidRDefault="00C327B2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color w:val="auto"/>
          <w:sz w:val="22"/>
          <w:szCs w:val="22"/>
          <w:bdr w:val="none" w:sz="0" w:space="0" w:color="auto"/>
          <w:lang w:val="fr-BE"/>
        </w:rPr>
      </w:pPr>
      <w:hyperlink r:id="rId10" w:history="1">
        <w:r w:rsidR="00CF099E" w:rsidRPr="00FC6B9A">
          <w:rPr>
            <w:rStyle w:val="Hipervnculo"/>
            <w:rFonts w:ascii="Courier New" w:eastAsia="MS Mincho" w:hAnsi="Courier New" w:cs="Courier New"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:rsidR="00CF099E" w:rsidRPr="00CC0948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CC0948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:rsidR="00CF099E" w:rsidRPr="007B4988" w:rsidRDefault="00C327B2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color w:val="auto"/>
          <w:sz w:val="22"/>
          <w:szCs w:val="22"/>
          <w:bdr w:val="none" w:sz="0" w:space="0" w:color="auto"/>
          <w:lang w:val="it-IT"/>
        </w:rPr>
      </w:pPr>
      <w:hyperlink r:id="rId11" w:history="1">
        <w:r w:rsidR="00CF099E" w:rsidRPr="007B4988">
          <w:rPr>
            <w:rStyle w:val="Hipervnculo"/>
            <w:rFonts w:ascii="Courier New" w:eastAsia="MS Mincho" w:hAnsi="Courier New" w:cs="Courier New"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:rsidR="00CF099E" w:rsidRPr="00DE3627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:rsidR="00CF099E" w:rsidRPr="007B4988" w:rsidRDefault="00C327B2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color w:val="auto"/>
          <w:sz w:val="22"/>
          <w:szCs w:val="22"/>
          <w:bdr w:val="none" w:sz="0" w:space="0" w:color="auto"/>
          <w:lang w:val="pt-PT"/>
        </w:rPr>
      </w:pPr>
      <w:hyperlink r:id="rId12" w:history="1">
        <w:r w:rsidR="00CF099E" w:rsidRPr="007B4988">
          <w:rPr>
            <w:rStyle w:val="Hipervnculo"/>
            <w:rFonts w:ascii="Courier New" w:eastAsia="MS Mincho" w:hAnsi="Courier New" w:cs="Courier New"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:rsidR="00CF099E" w:rsidRPr="00DE3627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:rsidR="00CF099E" w:rsidRPr="00DE3627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:rsidR="00CF099E" w:rsidRPr="007B4988" w:rsidRDefault="00C327B2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color w:val="auto"/>
          <w:sz w:val="22"/>
          <w:szCs w:val="22"/>
          <w:bdr w:val="none" w:sz="0" w:space="0" w:color="auto"/>
          <w:lang w:val="pt-PT"/>
        </w:rPr>
      </w:pPr>
      <w:hyperlink r:id="rId13" w:history="1">
        <w:r w:rsidR="00CF099E" w:rsidRPr="007B4988">
          <w:rPr>
            <w:rStyle w:val="Hipervnculo"/>
            <w:rFonts w:ascii="Courier New" w:eastAsia="MS Mincho" w:hAnsi="Courier New" w:cs="Courier New"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:rsidR="00CF099E" w:rsidRPr="00590772" w:rsidRDefault="00CF099E" w:rsidP="00CF0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Courier New" w:hAnsi="Courier New" w:cs="Courier New"/>
          <w:b/>
          <w:color w:val="auto"/>
          <w:sz w:val="22"/>
          <w:szCs w:val="22"/>
          <w:lang w:eastAsia="es-ES"/>
        </w:rPr>
        <w:t>914323489</w:t>
      </w:r>
    </w:p>
    <w:p w:rsidR="00CF099E" w:rsidRPr="00CE3772" w:rsidRDefault="00CF099E" w:rsidP="00CF099E">
      <w:pPr>
        <w:rPr>
          <w:lang w:val="es-ES"/>
        </w:rPr>
      </w:pPr>
    </w:p>
    <w:p w:rsidR="00CD2AC7" w:rsidRDefault="00C327B2"/>
    <w:sectPr w:rsidR="00CD2AC7" w:rsidSect="0086428F">
      <w:headerReference w:type="default" r:id="rId14"/>
      <w:footerReference w:type="default" r:id="rId15"/>
      <w:pgSz w:w="11900" w:h="16840"/>
      <w:pgMar w:top="1418" w:right="1418" w:bottom="1418" w:left="1418" w:header="709" w:footer="62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7B2" w:rsidRDefault="00C327B2">
      <w:r>
        <w:separator/>
      </w:r>
    </w:p>
  </w:endnote>
  <w:endnote w:type="continuationSeparator" w:id="0">
    <w:p w:rsidR="00C327B2" w:rsidRDefault="00C3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A0B" w:rsidRDefault="00E756BB" w:rsidP="009D6119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EF38BF">
      <w:rPr>
        <w:noProof/>
      </w:rPr>
      <w:t>1</w:t>
    </w:r>
    <w:r>
      <w:fldChar w:fldCharType="end"/>
    </w:r>
  </w:p>
  <w:p w:rsidR="00037A0B" w:rsidRPr="007F475F" w:rsidRDefault="00E756BB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(Cepesca)</w:t>
    </w:r>
  </w:p>
  <w:p w:rsidR="00037A0B" w:rsidRPr="00427A2F" w:rsidRDefault="00E756BB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C/Doctor Fleming nº 7 28036 Madrid</w:t>
    </w:r>
  </w:p>
  <w:p w:rsidR="00037A0B" w:rsidRPr="00427A2F" w:rsidRDefault="00E756BB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:rsidR="00037A0B" w:rsidRPr="00DE3627" w:rsidRDefault="00E756BB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  <w:lang w:val="pt-PT"/>
      </w:rPr>
    </w:pPr>
    <w:r w:rsidRPr="00DE3627">
      <w:rPr>
        <w:rFonts w:ascii="Arial" w:hAnsi="Arial" w:cs="Arial"/>
        <w:sz w:val="18"/>
        <w:szCs w:val="18"/>
        <w:lang w:val="pt-PT"/>
      </w:rPr>
      <w:t xml:space="preserve">Facebook: </w:t>
    </w:r>
    <w:r w:rsidRPr="00DE3627">
      <w:rPr>
        <w:rFonts w:ascii="Arial" w:hAnsi="Arial" w:cs="Arial"/>
        <w:color w:val="242EF8"/>
        <w:sz w:val="18"/>
        <w:szCs w:val="18"/>
        <w:lang w:val="pt-PT"/>
      </w:rPr>
      <w:t xml:space="preserve">Cepesca Pesca </w:t>
    </w:r>
  </w:p>
  <w:p w:rsidR="00037A0B" w:rsidRPr="00DE3627" w:rsidRDefault="00E756BB" w:rsidP="009D6119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  <w:lang w:val="pt-PT"/>
      </w:rPr>
    </w:pPr>
    <w:r w:rsidRPr="00DE3627">
      <w:rPr>
        <w:rFonts w:ascii="Arial" w:eastAsia="Arial" w:hAnsi="Arial" w:cs="Arial"/>
        <w:color w:val="242EF8"/>
        <w:sz w:val="18"/>
        <w:szCs w:val="18"/>
        <w:lang w:val="pt-PT"/>
      </w:rPr>
      <w:t>www.cepesca.es</w:t>
    </w:r>
  </w:p>
  <w:p w:rsidR="00037A0B" w:rsidRPr="00DE3627" w:rsidRDefault="00C327B2">
    <w:pPr>
      <w:pStyle w:val="Piedepgina"/>
      <w:tabs>
        <w:tab w:val="clear" w:pos="8504"/>
        <w:tab w:val="right" w:pos="8478"/>
      </w:tabs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7B2" w:rsidRDefault="00C327B2">
      <w:r>
        <w:separator/>
      </w:r>
    </w:p>
  </w:footnote>
  <w:footnote w:type="continuationSeparator" w:id="0">
    <w:p w:rsidR="00C327B2" w:rsidRDefault="00C32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28F" w:rsidRDefault="00C327B2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:rsidR="001F028F" w:rsidRDefault="00C327B2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:rsidR="001F028F" w:rsidRDefault="00C327B2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:rsidR="00037A0B" w:rsidRDefault="00E756BB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bdr w:val="none" w:sz="0" w:space="0" w:color="auto"/>
        <w:lang w:val="es-ES"/>
      </w:rPr>
      <w:drawing>
        <wp:anchor distT="152400" distB="152400" distL="152400" distR="152400" simplePos="0" relativeHeight="251659264" behindDoc="1" locked="0" layoutInCell="1" allowOverlap="1" wp14:anchorId="7FE56CE6" wp14:editId="1F8FAC44">
          <wp:simplePos x="0" y="0"/>
          <wp:positionH relativeFrom="page">
            <wp:posOffset>4467225</wp:posOffset>
          </wp:positionH>
          <wp:positionV relativeFrom="page">
            <wp:posOffset>182880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D450E"/>
    <w:multiLevelType w:val="hybridMultilevel"/>
    <w:tmpl w:val="BE185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9E"/>
    <w:rsid w:val="000C4C9A"/>
    <w:rsid w:val="00211146"/>
    <w:rsid w:val="0026588C"/>
    <w:rsid w:val="002F44B6"/>
    <w:rsid w:val="003128C9"/>
    <w:rsid w:val="007C3CEA"/>
    <w:rsid w:val="0086428F"/>
    <w:rsid w:val="00C327B2"/>
    <w:rsid w:val="00CF099E"/>
    <w:rsid w:val="00E756BB"/>
    <w:rsid w:val="00E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FA182"/>
  <w15:chartTrackingRefBased/>
  <w15:docId w15:val="{F7052D8E-60EC-404C-A485-843C21A2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CF099E"/>
    <w:rPr>
      <w:u w:val="single"/>
    </w:rPr>
  </w:style>
  <w:style w:type="paragraph" w:styleId="Encabezado">
    <w:name w:val="header"/>
    <w:link w:val="EncabezadoCar"/>
    <w:rsid w:val="00CF099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CF099E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CF099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F099E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CF09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Prrafodelista">
    <w:name w:val="List Paragraph"/>
    <w:basedOn w:val="Normal"/>
    <w:uiPriority w:val="34"/>
    <w:qFormat/>
    <w:rsid w:val="00CF099E"/>
    <w:pPr>
      <w:ind w:left="720"/>
      <w:contextualSpacing/>
    </w:pPr>
  </w:style>
  <w:style w:type="paragraph" w:styleId="Textosinformato">
    <w:name w:val="Plain Text"/>
    <w:basedOn w:val="Normal"/>
    <w:link w:val="TextosinformatoCar"/>
    <w:uiPriority w:val="99"/>
    <w:unhideWhenUsed/>
    <w:rsid w:val="002658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Theme="minorHAnsi" w:hAnsi="Calibri" w:cstheme="minorBidi"/>
      <w:color w:val="auto"/>
      <w:sz w:val="22"/>
      <w:szCs w:val="21"/>
      <w:bdr w:val="none" w:sz="0" w:space="0" w:color="auto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26588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esca.es" TargetMode="External"/><Relationship Id="rId13" Type="http://schemas.openxmlformats.org/officeDocument/2006/relationships/hyperlink" Target="mailto:comunicacion@cepesc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pesca.es/" TargetMode="External"/><Relationship Id="rId12" Type="http://schemas.openxmlformats.org/officeDocument/2006/relationships/hyperlink" Target="mailto:eugenio@bdicomunicacion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ola@bdicomunicacion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raquel@bdicomunicacion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2015-12-16T17:20:00Z</dcterms:created>
  <dcterms:modified xsi:type="dcterms:W3CDTF">2015-12-16T17:36:00Z</dcterms:modified>
</cp:coreProperties>
</file>